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1733550" cy="122872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  <w:b/>
          <w:i/>
          <w:u w:val="single"/>
        </w:rPr>
        <w:t>Tarification de la prise en charge des patients infectés par le VIH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 w:val="false"/>
          <w:bCs w:val="false"/>
          <w:i w:val="false"/>
          <w:iCs w:val="false"/>
          <w:u w:val="single"/>
        </w:rPr>
        <w:t>préambule</w:t>
      </w:r>
    </w:p>
    <w:p>
      <w:pPr>
        <w:pStyle w:val="style0"/>
        <w:jc w:val="left"/>
      </w:pPr>
      <w:r>
        <w:rPr>
          <w:rFonts w:ascii="Arial" w:cs="Arial" w:hAnsi="Arial"/>
          <w:b w:val="false"/>
          <w:bCs w:val="false"/>
          <w:i w:val="false"/>
          <w:iCs w:val="false"/>
          <w:u w:val="none"/>
        </w:rPr>
        <w:t>La SFLS rappelle qu'elle ne prend pas position pour une forme de tarification particulière entre forfait en fonction de la file active et consultation longue. Les avantages et inconvénients de ces 2 mode de rénumération ont été exposés dans un précédent document. Un mixte de ces deux formes de financement pourrait nourrir la reflexion.</w:t>
      </w:r>
    </w:p>
    <w:p>
      <w:pPr>
        <w:pStyle w:val="style34"/>
        <w:ind w:hanging="0" w:left="360" w:right="0"/>
        <w:jc w:val="both"/>
      </w:pPr>
      <w:r>
        <w:rPr/>
      </w:r>
    </w:p>
    <w:p>
      <w:pPr>
        <w:pStyle w:val="style34"/>
        <w:ind w:hanging="0" w:left="360" w:right="0"/>
        <w:jc w:val="both"/>
      </w:pPr>
      <w:r>
        <w:rPr>
          <w:rFonts w:ascii="Arial" w:cs="Arial" w:hAnsi="Arial"/>
          <w:sz w:val="20"/>
          <w:szCs w:val="20"/>
        </w:rPr>
        <w:t>Le médecin référent VIH est le médecin prescripteur d’ARV susceptible de proposer une modification du régime thérapeutique.</w:t>
      </w:r>
    </w:p>
    <w:p>
      <w:pPr>
        <w:pStyle w:val="style34"/>
        <w:ind w:hanging="0" w:left="360" w:right="0"/>
        <w:jc w:val="both"/>
      </w:pPr>
      <w:r>
        <w:rPr/>
      </w:r>
    </w:p>
    <w:p>
      <w:pPr>
        <w:pStyle w:val="style34"/>
        <w:ind w:hanging="0" w:left="360" w:right="0"/>
        <w:jc w:val="both"/>
      </w:pPr>
      <w:r>
        <w:rPr/>
      </w:r>
    </w:p>
    <w:p>
      <w:pPr>
        <w:pStyle w:val="style34"/>
        <w:ind w:hanging="0" w:left="360" w:right="0"/>
        <w:jc w:val="both"/>
      </w:pPr>
      <w:r>
        <w:rPr>
          <w:rFonts w:ascii="Arial" w:cs="Arial" w:hAnsi="Arial"/>
          <w:sz w:val="20"/>
          <w:szCs w:val="20"/>
        </w:rPr>
        <w:t xml:space="preserve">Les consultations ou prise en charge spécifique pouvant bénéficier d’une tarification spéciale seraient selon les circonstances ou patients suivants : </w:t>
      </w:r>
    </w:p>
    <w:p>
      <w:pPr>
        <w:pStyle w:val="style34"/>
        <w:ind w:hanging="0" w:left="360" w:right="0"/>
        <w:jc w:val="both"/>
      </w:pPr>
      <w:r>
        <w:rPr/>
      </w:r>
    </w:p>
    <w:p>
      <w:pPr>
        <w:pStyle w:val="style34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1 : Consultation spécifique de synthèse annuelle pour tous les patients ayant une immunité conservée ou restaurée (CD4&gt;500/mm3) et un contrôle virologique effectuée par le médecin référent VIH : 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ind w:firstLine="708" w:left="0" w:right="0"/>
      </w:pPr>
      <w:r>
        <w:rPr>
          <w:rFonts w:ascii="Arial" w:cs="Arial" w:hAnsi="Arial"/>
          <w:sz w:val="20"/>
          <w:szCs w:val="20"/>
        </w:rPr>
        <w:t>Point sur le traitement</w:t>
      </w:r>
    </w:p>
    <w:p>
      <w:pPr>
        <w:pStyle w:val="style0"/>
        <w:ind w:firstLine="708" w:left="0" w:right="0"/>
      </w:pPr>
      <w:r>
        <w:rPr>
          <w:rFonts w:ascii="Arial" w:cs="Arial" w:hAnsi="Arial"/>
          <w:sz w:val="20"/>
          <w:szCs w:val="20"/>
        </w:rPr>
        <w:t>Conseil pharmacologique</w:t>
      </w:r>
    </w:p>
    <w:p>
      <w:pPr>
        <w:pStyle w:val="style0"/>
        <w:ind w:firstLine="708" w:left="0" w:right="0"/>
      </w:pPr>
      <w:r>
        <w:rPr>
          <w:rFonts w:ascii="Arial" w:cs="Arial" w:hAnsi="Arial"/>
          <w:sz w:val="20"/>
          <w:szCs w:val="20"/>
        </w:rPr>
        <w:t>Renouvellement annuel des ARV</w:t>
      </w:r>
    </w:p>
    <w:p>
      <w:pPr>
        <w:pStyle w:val="style0"/>
        <w:ind w:firstLine="708" w:left="0" w:right="0"/>
      </w:pPr>
      <w:r>
        <w:rPr>
          <w:rFonts w:ascii="Arial" w:cs="Arial" w:hAnsi="Arial"/>
          <w:sz w:val="20"/>
          <w:szCs w:val="20"/>
        </w:rPr>
        <w:t>Discussion en RCP</w:t>
      </w:r>
    </w:p>
    <w:p>
      <w:pPr>
        <w:pStyle w:val="style0"/>
        <w:ind w:firstLine="708" w:left="0" w:right="0"/>
      </w:pPr>
      <w:r>
        <w:rPr>
          <w:rFonts w:ascii="Arial" w:cs="Arial" w:hAnsi="Arial"/>
          <w:sz w:val="20"/>
          <w:szCs w:val="20"/>
        </w:rPr>
        <w:t xml:space="preserve">Comorbidités </w:t>
      </w:r>
    </w:p>
    <w:p>
      <w:pPr>
        <w:pStyle w:val="style0"/>
        <w:ind w:firstLine="708" w:left="0" w:right="0"/>
      </w:pPr>
      <w:r>
        <w:rPr>
          <w:rFonts w:ascii="Arial" w:cs="Arial" w:hAnsi="Arial"/>
          <w:sz w:val="20"/>
          <w:szCs w:val="20"/>
        </w:rPr>
        <w:tab/>
        <w:t>Dépistage des troubles métaboliques</w:t>
      </w:r>
    </w:p>
    <w:p>
      <w:pPr>
        <w:pStyle w:val="style0"/>
        <w:ind w:firstLine="708" w:left="0" w:right="0"/>
      </w:pPr>
      <w:r>
        <w:rPr>
          <w:rFonts w:ascii="Arial" w:cs="Arial" w:hAnsi="Arial"/>
          <w:sz w:val="20"/>
          <w:szCs w:val="20"/>
        </w:rPr>
        <w:tab/>
        <w:t>Facteurs de risque vasculaire, osseux</w:t>
      </w:r>
    </w:p>
    <w:p>
      <w:pPr>
        <w:pStyle w:val="style0"/>
        <w:ind w:firstLine="708" w:left="0" w:right="0"/>
      </w:pPr>
      <w:r>
        <w:rPr>
          <w:rFonts w:ascii="Arial" w:cs="Arial" w:hAnsi="Arial"/>
          <w:sz w:val="20"/>
          <w:szCs w:val="20"/>
        </w:rPr>
        <w:tab/>
        <w:t>Troubles cognitifs</w:t>
      </w:r>
    </w:p>
    <w:p>
      <w:pPr>
        <w:pStyle w:val="style0"/>
        <w:ind w:firstLine="708" w:left="0" w:right="0"/>
      </w:pPr>
      <w:r>
        <w:rPr>
          <w:rFonts w:ascii="Arial" w:cs="Arial" w:hAnsi="Arial"/>
          <w:sz w:val="20"/>
          <w:szCs w:val="20"/>
        </w:rPr>
        <w:tab/>
        <w:t>Vieillissement, fragilité</w:t>
      </w:r>
    </w:p>
    <w:p>
      <w:pPr>
        <w:pStyle w:val="style0"/>
        <w:ind w:firstLine="708" w:left="0" w:right="0"/>
      </w:pPr>
      <w:r>
        <w:rPr>
          <w:rFonts w:ascii="Arial" w:cs="VectoraLTStd-Roman" w:hAnsi="Arial"/>
          <w:sz w:val="20"/>
          <w:szCs w:val="16"/>
        </w:rPr>
        <w:t>Vie affective et sexuelle</w:t>
      </w:r>
    </w:p>
    <w:p>
      <w:pPr>
        <w:pStyle w:val="style0"/>
        <w:ind w:firstLine="708" w:left="708" w:right="0"/>
      </w:pPr>
      <w:r>
        <w:rPr>
          <w:rFonts w:ascii="Arial" w:cs="VectoraLTStd-Roman" w:hAnsi="Arial"/>
          <w:sz w:val="20"/>
          <w:szCs w:val="16"/>
        </w:rPr>
        <w:t>Prévention, désir d’enfant ou questions de couple, dépistages IST</w:t>
      </w:r>
    </w:p>
    <w:p>
      <w:pPr>
        <w:pStyle w:val="style0"/>
      </w:pPr>
      <w:r>
        <w:rPr>
          <w:rFonts w:ascii="Arial" w:cs="VectoraLTStd-Roman" w:hAnsi="Arial"/>
          <w:sz w:val="20"/>
          <w:szCs w:val="16"/>
        </w:rPr>
        <w:tab/>
        <w:t>Vaccinations et/ou préparation au voyage en zone tropicale +/- Cs de retour (pour les pts    concernés évidemment)</w:t>
      </w:r>
    </w:p>
    <w:p>
      <w:pPr>
        <w:pStyle w:val="style0"/>
      </w:pPr>
      <w:r>
        <w:rPr>
          <w:rFonts w:ascii="Arial" w:cs="VectoraLTStd-Roman" w:hAnsi="Arial"/>
          <w:sz w:val="20"/>
          <w:szCs w:val="16"/>
        </w:rPr>
        <w:tab/>
        <w:t>Prise en charge dans un protocole thérapeutique</w:t>
      </w:r>
    </w:p>
    <w:p>
      <w:pPr>
        <w:pStyle w:val="style0"/>
        <w:ind w:firstLine="708" w:left="0" w:right="0"/>
      </w:pPr>
      <w:r>
        <w:rPr>
          <w:rFonts w:ascii="Arial" w:cs="VectoraLTStd-Roman" w:hAnsi="Arial"/>
          <w:sz w:val="20"/>
          <w:szCs w:val="16"/>
        </w:rPr>
        <w:t>Bilan social et statut professionnel</w:t>
      </w:r>
    </w:p>
    <w:p>
      <w:pPr>
        <w:pStyle w:val="style0"/>
        <w:ind w:firstLine="708" w:left="0" w:right="0"/>
      </w:pPr>
      <w:r>
        <w:rPr>
          <w:rFonts w:ascii="Arial" w:cs="VectoraLTStd-Roman" w:hAnsi="Arial"/>
          <w:sz w:val="20"/>
          <w:szCs w:val="16"/>
        </w:rPr>
        <w:t>Bilan éducatif faisant le bilan de la vie avec la maladie, l’observance, bilan diététique sur l’équilibre alimentaire</w:t>
      </w:r>
    </w:p>
    <w:p>
      <w:pPr>
        <w:pStyle w:val="style0"/>
        <w:ind w:firstLine="708" w:left="0" w:right="0"/>
      </w:pPr>
      <w:r>
        <w:rPr>
          <w:rFonts w:ascii="Arial" w:cs="VectoraLTStd-Roman" w:hAnsi="Arial"/>
          <w:sz w:val="20"/>
          <w:szCs w:val="16"/>
        </w:rPr>
      </w:r>
    </w:p>
    <w:p>
      <w:pPr>
        <w:pStyle w:val="style0"/>
        <w:ind w:firstLine="708" w:left="0" w:right="0"/>
      </w:pPr>
      <w:r>
        <w:rPr>
          <w:rFonts w:ascii="Arial" w:cs="VectoraLTStd-Roman" w:hAnsi="Arial"/>
          <w:sz w:val="20"/>
          <w:szCs w:val="16"/>
        </w:rPr>
      </w:r>
    </w:p>
    <w:p>
      <w:pPr>
        <w:pStyle w:val="style0"/>
      </w:pPr>
      <w:r>
        <w:rPr>
          <w:rFonts w:ascii="Arial" w:cs="VectoraLTStd-Roman" w:hAnsi="Arial"/>
          <w:sz w:val="20"/>
          <w:szCs w:val="16"/>
        </w:rPr>
        <w:t>Cette consultation donnerait lieu à une synthèse écrite définissant avec le patient un parcours de soins personnalisé adressé au médecin traitant et faisant appel à un bilan biologique spécifique annuel (dépistage IST, bilan métabolique</w:t>
      </w:r>
      <w:r>
        <w:rPr>
          <w:rFonts w:ascii="Arial" w:cs="VectoraLTStd-Roman" w:hAnsi="Arial"/>
          <w:sz w:val="20"/>
          <w:szCs w:val="16"/>
        </w:rPr>
        <w:t>)</w:t>
      </w:r>
    </w:p>
    <w:p>
      <w:pPr>
        <w:pStyle w:val="style34"/>
      </w:pPr>
      <w:r>
        <w:rPr>
          <w:rFonts w:ascii="Arial" w:cs="Arial" w:hAnsi="Arial"/>
          <w:sz w:val="20"/>
          <w:szCs w:val="20"/>
        </w:rPr>
        <w:t>On retient la possibilité de consultation longue dans le cadre du traitement d’une hépatite C concomitante.</w:t>
      </w:r>
    </w:p>
    <w:p>
      <w:pPr>
        <w:pStyle w:val="style0"/>
      </w:pPr>
      <w:r>
        <w:rPr>
          <w:rFonts w:ascii="Arial" w:cs="VectoraLTStd-Roman" w:hAnsi="Arial"/>
          <w:sz w:val="20"/>
          <w:szCs w:val="16"/>
        </w:rPr>
        <w:t xml:space="preserve">En cas de recours à des examens complémentaires multiples ou des consultations spécialisées justifiant que le patient doive séjourner plus de 5 heures et prendre le repas du midi au centre hospitalier, une tarification </w:t>
      </w:r>
      <w:r>
        <w:rPr>
          <w:rFonts w:ascii="Arial" w:cs="VectoraLTStd-Roman" w:hAnsi="Arial"/>
          <w:b/>
          <w:sz w:val="20"/>
          <w:szCs w:val="16"/>
        </w:rPr>
        <w:t>hôpital de jour</w:t>
      </w:r>
      <w:r>
        <w:rPr>
          <w:rFonts w:ascii="Arial" w:cs="VectoraLTStd-Roman" w:hAnsi="Arial"/>
          <w:sz w:val="20"/>
          <w:szCs w:val="16"/>
        </w:rPr>
        <w:t xml:space="preserve"> doit être maintenue</w:t>
      </w:r>
    </w:p>
    <w:p>
      <w:pPr>
        <w:pStyle w:val="style0"/>
      </w:pPr>
      <w:r>
        <w:rPr>
          <w:rFonts w:ascii="Arial" w:cs="VectoraLTStd-Roman" w:hAnsi="Arial"/>
          <w:sz w:val="20"/>
          <w:szCs w:val="16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L'initiation ou le changement d'ARV : prendre le temps d'expliquer la prescription, le changement + un courrier spécifique au médecin traitant mentionnant la surveillance et les interactions médicamenteuses.</w:t>
      </w:r>
    </w:p>
    <w:p>
      <w:pPr>
        <w:pStyle w:val="style0"/>
      </w:pPr>
      <w:r>
        <w:rPr>
          <w:rFonts w:ascii="Arial" w:cs="VectoraLTStd-Roman" w:hAnsi="Arial"/>
          <w:sz w:val="20"/>
          <w:szCs w:val="16"/>
        </w:rPr>
      </w:r>
    </w:p>
    <w:p>
      <w:pPr>
        <w:pStyle w:val="style34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34"/>
        <w:jc w:val="both"/>
      </w:pPr>
      <w:r>
        <w:rPr>
          <w:rFonts w:ascii="Arial" w:cs="Arial" w:hAnsi="Arial"/>
          <w:sz w:val="20"/>
          <w:szCs w:val="20"/>
        </w:rPr>
        <w:t xml:space="preserve">D’autres situations </w:t>
      </w:r>
      <w:r>
        <w:rPr>
          <w:rFonts w:ascii="Arial" w:cs="Arial" w:hAnsi="Arial"/>
          <w:sz w:val="20"/>
          <w:szCs w:val="20"/>
        </w:rPr>
        <w:t>pourr</w:t>
      </w:r>
      <w:r>
        <w:rPr>
          <w:rFonts w:ascii="Arial" w:cs="Arial" w:hAnsi="Arial"/>
          <w:sz w:val="20"/>
          <w:szCs w:val="20"/>
        </w:rPr>
        <w:t>aient faire l’objet d’une tarification spéciale</w:t>
      </w:r>
    </w:p>
    <w:p>
      <w:pPr>
        <w:pStyle w:val="style34"/>
        <w:ind w:hanging="0" w:left="360" w:right="0"/>
        <w:jc w:val="both"/>
      </w:pPr>
      <w:r>
        <w:rPr>
          <w:rFonts w:ascii="Arial" w:cs="Arial" w:hAnsi="Arial"/>
          <w:sz w:val="20"/>
          <w:szCs w:val="20"/>
        </w:rPr>
        <w:t>- Première consultation d’annonce ou de post-annonce du diagnostic</w:t>
      </w:r>
    </w:p>
    <w:p>
      <w:pPr>
        <w:pStyle w:val="style34"/>
        <w:ind w:hanging="0" w:left="360" w:right="0"/>
        <w:jc w:val="both"/>
      </w:pPr>
      <w:r>
        <w:rPr>
          <w:rFonts w:ascii="Arial" w:cs="Arial" w:hAnsi="Arial"/>
          <w:sz w:val="20"/>
          <w:szCs w:val="20"/>
        </w:rPr>
        <w:t>- Première consultation d’une femme enceinte</w:t>
      </w:r>
    </w:p>
    <w:p>
      <w:pPr>
        <w:pStyle w:val="style34"/>
        <w:jc w:val="both"/>
      </w:pPr>
      <w:r>
        <w:rPr>
          <w:rFonts w:ascii="Arial" w:cs="Arial" w:hAnsi="Arial"/>
          <w:sz w:val="20"/>
          <w:szCs w:val="20"/>
        </w:rPr>
        <w:t xml:space="preserve">       </w:t>
      </w:r>
      <w:r>
        <w:rPr>
          <w:rFonts w:ascii="Arial" w:cs="Arial" w:hAnsi="Arial"/>
          <w:sz w:val="20"/>
          <w:szCs w:val="20"/>
        </w:rPr>
        <w:t>- Premières consultations  mères – nouveau-né  dans le cadre de la PTME</w:t>
      </w:r>
    </w:p>
    <w:p>
      <w:pPr>
        <w:pStyle w:val="style34"/>
        <w:ind w:hanging="0" w:left="360" w:right="0"/>
        <w:jc w:val="both"/>
      </w:pPr>
      <w:r>
        <w:rPr>
          <w:rFonts w:ascii="Arial" w:cs="Arial" w:hAnsi="Arial"/>
          <w:sz w:val="20"/>
          <w:szCs w:val="20"/>
        </w:rPr>
        <w:t xml:space="preserve">- Enfants /parents: l’annonce du diagnostic de l’enfant  aux parents , problèmes  d’inobservances de l’enfant , consultations médico- psychologiques de médiation avec les parents  pour préparer l’annonce  aux enfants,  annonce à l’enfant de  sa propre  séropositivité avec les parents…  </w:t>
      </w:r>
    </w:p>
    <w:p>
      <w:pPr>
        <w:pStyle w:val="style34"/>
        <w:ind w:hanging="0" w:left="360" w:right="0"/>
        <w:jc w:val="both"/>
      </w:pPr>
      <w:r>
        <w:rPr>
          <w:rFonts w:ascii="Arial" w:cs="Arial" w:hAnsi="Arial"/>
          <w:sz w:val="20"/>
          <w:szCs w:val="20"/>
        </w:rPr>
        <w:t xml:space="preserve">- Adolescents suivis : consultations particulières concernant la  reprise de l’annonce avec le mot  sida,  conduites à risque concernant les  mauvaises prises du traitement et  la sexualité. </w:t>
      </w:r>
    </w:p>
    <w:p>
      <w:pPr>
        <w:pStyle w:val="style34"/>
        <w:ind w:hanging="0" w:left="360" w:right="0"/>
        <w:jc w:val="both"/>
      </w:pPr>
      <w:bookmarkStart w:id="0" w:name="_GoBack"/>
      <w:bookmarkEnd w:id="0"/>
      <w:r>
        <w:rPr>
          <w:rFonts w:ascii="Arial" w:cs="Arial" w:hAnsi="Arial"/>
          <w:sz w:val="20"/>
          <w:szCs w:val="20"/>
        </w:rPr>
        <w:t xml:space="preserve">- Travail de transition nécessaire pour la préparation au passage  chez les adultes </w:t>
      </w:r>
    </w:p>
    <w:p>
      <w:pPr>
        <w:pStyle w:val="style34"/>
        <w:jc w:val="both"/>
      </w:pPr>
      <w:r>
        <w:rPr>
          <w:rFonts w:ascii="Arial" w:cs="Arial" w:hAnsi="Arial"/>
          <w:sz w:val="20"/>
          <w:szCs w:val="20"/>
        </w:rPr>
        <w:t xml:space="preserve">       </w:t>
      </w:r>
      <w:r>
        <w:rPr>
          <w:rFonts w:ascii="Arial" w:cs="Arial" w:hAnsi="Arial"/>
          <w:sz w:val="20"/>
          <w:szCs w:val="20"/>
        </w:rPr>
        <w:t>- Patient en rupture de soins revenu en consultation</w:t>
      </w:r>
    </w:p>
    <w:p>
      <w:pPr>
        <w:pStyle w:val="style34"/>
        <w:ind w:hanging="0" w:left="360" w:right="0"/>
        <w:jc w:val="both"/>
      </w:pPr>
      <w:r>
        <w:rPr>
          <w:rFonts w:ascii="Arial" w:cs="Arial" w:hAnsi="Arial"/>
          <w:sz w:val="20"/>
          <w:szCs w:val="20"/>
        </w:rPr>
        <w:t>- Patient de plus de 60 ans et/ou poly pathologique</w:t>
      </w:r>
    </w:p>
    <w:p>
      <w:pPr>
        <w:pStyle w:val="style34"/>
        <w:ind w:hanging="0" w:left="360" w:right="0"/>
        <w:jc w:val="both"/>
      </w:pPr>
      <w:r>
        <w:rPr>
          <w:rFonts w:ascii="Arial" w:cs="Arial" w:hAnsi="Arial"/>
          <w:sz w:val="20"/>
          <w:szCs w:val="20"/>
        </w:rPr>
        <w:t>- Patient immunodéprimé CD4&lt;200/mm3 ou sortant d’hospitalisation</w:t>
      </w:r>
    </w:p>
    <w:p>
      <w:pPr>
        <w:pStyle w:val="style34"/>
        <w:ind w:hanging="0" w:left="360" w:right="0"/>
        <w:jc w:val="both"/>
      </w:pPr>
      <w:r>
        <w:rPr>
          <w:rFonts w:ascii="Arial" w:cs="Arial" w:hAnsi="Arial"/>
          <w:sz w:val="20"/>
          <w:szCs w:val="20"/>
        </w:rPr>
        <w:t>- AES assorti de conseils de prévention</w:t>
      </w:r>
    </w:p>
    <w:p>
      <w:pPr>
        <w:pStyle w:val="style34"/>
        <w:ind w:hanging="0" w:left="360" w:right="0"/>
        <w:jc w:val="both"/>
      </w:pPr>
      <w:r>
        <w:rPr>
          <w:rFonts w:ascii="Arial" w:cs="Arial" w:hAnsi="Arial"/>
          <w:sz w:val="20"/>
          <w:szCs w:val="20"/>
        </w:rPr>
        <w:t xml:space="preserve">Toutes ces prises en charges spécifiques nécessitent </w:t>
      </w:r>
    </w:p>
    <w:p>
      <w:pPr>
        <w:pStyle w:val="style34"/>
        <w:ind w:firstLine="348" w:left="360" w:right="0"/>
        <w:jc w:val="both"/>
      </w:pPr>
      <w:r>
        <w:rPr>
          <w:rFonts w:ascii="Arial" w:cs="Arial" w:hAnsi="Arial"/>
          <w:sz w:val="20"/>
          <w:szCs w:val="20"/>
        </w:rPr>
        <w:t>Une prise en charge multi professionnelle immédiate ou à moyen terme avec au moins un autre professionnel sollicité pour avis et/ou prise en charge (médecin référent, éducateur en ETP, psychologue, assistante sociale, diététicienne.)</w:t>
      </w:r>
    </w:p>
    <w:p>
      <w:pPr>
        <w:pStyle w:val="style34"/>
        <w:ind w:firstLine="348" w:left="360" w:right="0"/>
        <w:jc w:val="both"/>
      </w:pPr>
      <w:r>
        <w:rPr>
          <w:rFonts w:ascii="Arial" w:cs="Arial" w:hAnsi="Arial"/>
          <w:sz w:val="20"/>
          <w:szCs w:val="20"/>
        </w:rPr>
        <w:t xml:space="preserve">Une synthèse valorisant cette prise en charge </w:t>
      </w:r>
    </w:p>
    <w:p>
      <w:pPr>
        <w:pStyle w:val="style34"/>
        <w:ind w:firstLine="348" w:left="360" w:right="0"/>
        <w:jc w:val="both"/>
      </w:pPr>
      <w:r>
        <w:rPr>
          <w:rFonts w:ascii="Arial" w:cs="Arial" w:hAnsi="Arial"/>
          <w:sz w:val="20"/>
          <w:szCs w:val="20"/>
        </w:rPr>
        <w:t>Une coordination des soins</w:t>
      </w:r>
    </w:p>
    <w:p>
      <w:pPr>
        <w:pStyle w:val="style34"/>
      </w:pPr>
      <w:r>
        <w:rPr>
          <w:rFonts w:ascii="Arial" w:cs="Arial" w:hAnsi="Arial"/>
          <w:sz w:val="20"/>
          <w:szCs w:val="20"/>
        </w:rPr>
      </w:r>
    </w:p>
    <w:p>
      <w:pPr>
        <w:pStyle w:val="style34"/>
      </w:pPr>
      <w:r>
        <w:rPr>
          <w:rFonts w:ascii="Arial" w:cs="Arial" w:hAnsi="Arial"/>
          <w:sz w:val="20"/>
          <w:szCs w:val="20"/>
        </w:rPr>
        <w:t>Les autres consultations (tous les 4 à 6 mois) justifient une tarification standard</w:t>
        <w:br/>
      </w:r>
    </w:p>
    <w:p>
      <w:pPr>
        <w:pStyle w:val="style34"/>
      </w:pPr>
      <w:r>
        <w:rPr>
          <w:rFonts w:ascii="Arial" w:cs="Arial" w:hAnsi="Arial"/>
          <w:sz w:val="20"/>
          <w:szCs w:val="20"/>
        </w:rPr>
        <w:t>Il n’y a pas lieu de prévoir de consultation longue ou spéciale pour :</w:t>
      </w:r>
    </w:p>
    <w:p>
      <w:pPr>
        <w:pStyle w:val="style34"/>
      </w:pPr>
      <w:r>
        <w:rPr>
          <w:rFonts w:ascii="Arial" w:cs="Arial" w:hAnsi="Arial"/>
          <w:sz w:val="20"/>
          <w:szCs w:val="20"/>
        </w:rPr>
        <w:t>Avis cardiologique, néphrologique, rhumatologique, ophtalmologique</w:t>
      </w:r>
    </w:p>
    <w:p>
      <w:pPr>
        <w:pStyle w:val="style34"/>
      </w:pPr>
      <w:r>
        <w:rPr/>
      </w:r>
    </w:p>
    <w:p>
      <w:pPr>
        <w:pStyle w:val="style42"/>
      </w:pPr>
      <w:r>
        <w:rPr>
          <w:rFonts w:ascii="Arial" w:cs="Arial" w:hAnsi="Arial"/>
          <w:sz w:val="20"/>
          <w:szCs w:val="20"/>
        </w:rPr>
        <w:t>la RCP, si elle est vraiment reconnue comme démarche EPP pourrait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 xml:space="preserve">faire l'objet d'une tarification particulière ou d'une MIG </w:t>
      </w: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>omme c'était le cas initialement en oncologie.</w:t>
      </w:r>
    </w:p>
    <w:p>
      <w:pPr>
        <w:pStyle w:val="style34"/>
        <w:spacing w:after="28" w:before="28"/>
        <w:contextualSpacing w:val="false"/>
      </w:pPr>
      <w:r>
        <w:rPr>
          <w:rFonts w:ascii="Arial" w:cs="Arial" w:hAnsi="Arial"/>
          <w:sz w:val="20"/>
          <w:szCs w:val="20"/>
        </w:rPr>
        <w:br/>
      </w:r>
    </w:p>
    <w:sectPr>
      <w:footerReference r:id="rId3" w:type="default"/>
      <w:type w:val="nextPage"/>
      <w:pgSz w:h="16838" w:w="11906"/>
      <w:pgMar w:bottom="765" w:footer="708" w:gutter="0" w:header="0" w:left="1417" w:right="1417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-108"/>
      <w:tblBorders>
        <w:top w:color="808080" w:space="0" w:sz="18" w:val="single"/>
        <w:right w:color="808080" w:space="0" w:sz="18" w:val="single"/>
      </w:tblBorders>
    </w:tblPr>
    <w:tblGrid>
      <w:gridCol w:w="963"/>
      <w:gridCol w:w="8324"/>
    </w:tblGrid>
    <w:tr>
      <w:trPr>
        <w:cantSplit w:val="false"/>
      </w:trPr>
      <w:tc>
        <w:tcPr>
          <w:tcW w:type="dxa" w:w="963"/>
          <w:tcBorders>
            <w:top w:color="808080" w:space="0" w:sz="18" w:val="single"/>
            <w:right w:color="808080" w:space="0" w:sz="18" w:val="single"/>
          </w:tcBorders>
          <w:shd w:fill="auto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41"/>
            <w:jc w:val="right"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type="dxa" w:w="8324"/>
          <w:tcBorders>
            <w:top w:color="808080" w:space="0" w:sz="18" w:val="single"/>
            <w:left w:color="808080" w:space="0" w:sz="18" w:val="single"/>
          </w:tcBorders>
          <w:shd w:fill="auto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41"/>
            <w:jc w:val="center"/>
          </w:pPr>
          <w:r>
            <w:rPr>
              <w:sz w:val="18"/>
              <w:szCs w:val="18"/>
            </w:rPr>
            <w:t>Tarification de la prise en charge des patients infectés par le VIH –                               SFLS</w:t>
          </w:r>
        </w:p>
      </w:tc>
    </w:tr>
  </w:tbl>
  <w:p>
    <w:pPr>
      <w:pStyle w:val="style41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</w:pPr>
    <w:rPr>
      <w:rFonts w:ascii="Times New Roman" w:cs="Times New Roman" w:eastAsia="MS Minngs" w:hAnsi="Times New Roman"/>
      <w:color w:val="auto"/>
      <w:sz w:val="24"/>
      <w:szCs w:val="24"/>
      <w:lang w:bidi="ar-SA" w:eastAsia="ja-JP" w:val="fr-FR"/>
    </w:rPr>
  </w:style>
  <w:style w:styleId="style1" w:type="paragraph">
    <w:name w:val="Titre 1"/>
    <w:basedOn w:val="style0"/>
    <w:next w:val="style30"/>
    <w:pPr>
      <w:keepNext/>
    </w:pPr>
    <w:rPr>
      <w:rFonts w:ascii="Cambria" w:hAnsi="Cambria"/>
      <w:b/>
      <w:bCs/>
      <w:sz w:val="32"/>
      <w:szCs w:val="32"/>
    </w:rPr>
  </w:style>
  <w:style w:styleId="style2" w:type="paragraph">
    <w:name w:val="Titre 2"/>
    <w:basedOn w:val="style0"/>
    <w:next w:val="style30"/>
    <w:pPr>
      <w:keepNext/>
      <w:numPr>
        <w:ilvl w:val="1"/>
        <w:numId w:val="1"/>
      </w:numPr>
      <w:outlineLvl w:val="1"/>
    </w:pPr>
    <w:rPr>
      <w:rFonts w:ascii="Cambria" w:hAnsi="Cambria"/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rFonts w:ascii="Cambria" w:cs="Times New Roman" w:hAnsi="Cambria"/>
      <w:b/>
      <w:sz w:val="32"/>
      <w:lang w:eastAsia="ja-JP"/>
    </w:rPr>
  </w:style>
  <w:style w:styleId="style17" w:type="character">
    <w:name w:val="Titre 2 Car"/>
    <w:basedOn w:val="style15"/>
    <w:next w:val="style17"/>
    <w:rPr>
      <w:rFonts w:ascii="Cambria" w:cs="Times New Roman" w:hAnsi="Cambria"/>
      <w:b/>
      <w:i/>
      <w:sz w:val="28"/>
      <w:lang w:eastAsia="ja-JP"/>
    </w:rPr>
  </w:style>
  <w:style w:styleId="style18" w:type="character">
    <w:name w:val="Texte de bulles Car"/>
    <w:basedOn w:val="style15"/>
    <w:next w:val="style18"/>
    <w:rPr>
      <w:rFonts w:cs="Times New Roman"/>
      <w:sz w:val="2"/>
      <w:lang w:eastAsia="ja-JP"/>
    </w:rPr>
  </w:style>
  <w:style w:styleId="style19" w:type="character">
    <w:name w:val="Corps de texte Car"/>
    <w:basedOn w:val="style15"/>
    <w:next w:val="style19"/>
    <w:rPr>
      <w:rFonts w:cs="Times New Roman"/>
      <w:sz w:val="24"/>
      <w:lang w:eastAsia="ja-JP"/>
    </w:rPr>
  </w:style>
  <w:style w:styleId="style20" w:type="character">
    <w:name w:val="Corps de texte 2 Car"/>
    <w:basedOn w:val="style15"/>
    <w:next w:val="style20"/>
    <w:rPr>
      <w:rFonts w:cs="Times New Roman"/>
      <w:sz w:val="24"/>
      <w:lang w:eastAsia="ja-JP"/>
    </w:rPr>
  </w:style>
  <w:style w:styleId="style21" w:type="character">
    <w:name w:val="Corps de texte 3 Car"/>
    <w:basedOn w:val="style15"/>
    <w:next w:val="style21"/>
    <w:rPr>
      <w:rFonts w:cs="Times New Roman"/>
      <w:sz w:val="16"/>
      <w:lang w:eastAsia="ja-JP"/>
    </w:rPr>
  </w:style>
  <w:style w:styleId="style22" w:type="character">
    <w:name w:val="annotation reference"/>
    <w:basedOn w:val="style15"/>
    <w:next w:val="style22"/>
    <w:rPr>
      <w:rFonts w:cs="Times New Roman"/>
      <w:sz w:val="18"/>
    </w:rPr>
  </w:style>
  <w:style w:styleId="style23" w:type="character">
    <w:name w:val="Commentaire Car"/>
    <w:basedOn w:val="style15"/>
    <w:next w:val="style23"/>
    <w:rPr>
      <w:rFonts w:cs="Times New Roman"/>
      <w:sz w:val="20"/>
      <w:lang w:eastAsia="ja-JP"/>
    </w:rPr>
  </w:style>
  <w:style w:styleId="style24" w:type="character">
    <w:name w:val="En-tête Car"/>
    <w:basedOn w:val="style15"/>
    <w:next w:val="style24"/>
    <w:rPr>
      <w:rFonts w:cs="Times New Roman"/>
      <w:sz w:val="24"/>
      <w:lang w:eastAsia="ja-JP"/>
    </w:rPr>
  </w:style>
  <w:style w:styleId="style25" w:type="character">
    <w:name w:val="Pied de page Car"/>
    <w:basedOn w:val="style15"/>
    <w:next w:val="style25"/>
    <w:rPr>
      <w:rFonts w:cs="Times New Roman"/>
      <w:sz w:val="24"/>
      <w:lang w:eastAsia="ja-JP"/>
    </w:rPr>
  </w:style>
  <w:style w:styleId="style26" w:type="character">
    <w:name w:val="Texte brut Car"/>
    <w:basedOn w:val="style15"/>
    <w:next w:val="style26"/>
    <w:rPr>
      <w:rFonts w:ascii="Calibri" w:cs="Calibri" w:hAnsi="Calibri"/>
      <w:sz w:val="21"/>
      <w:szCs w:val="21"/>
      <w:lang w:eastAsia="en-US"/>
    </w:rPr>
  </w:style>
  <w:style w:styleId="style27" w:type="character">
    <w:name w:val="ListLabel 1"/>
    <w:next w:val="style27"/>
    <w:rPr>
      <w:rFonts w:eastAsia="Times New Roman"/>
    </w:rPr>
  </w:style>
  <w:style w:styleId="style28" w:type="character">
    <w:name w:val="ListLabel 2"/>
    <w:next w:val="style28"/>
    <w:rPr>
      <w:rFonts w:cs="Times New Roman"/>
    </w:rPr>
  </w:style>
  <w:style w:styleId="style29" w:type="paragraph">
    <w:name w:val="Titre"/>
    <w:basedOn w:val="style0"/>
    <w:next w:val="style3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0" w:type="paragraph">
    <w:name w:val="Corps de texte"/>
    <w:basedOn w:val="style0"/>
    <w:next w:val="style30"/>
    <w:pPr/>
    <w:rPr/>
  </w:style>
  <w:style w:styleId="style31" w:type="paragraph">
    <w:name w:val="Liste"/>
    <w:basedOn w:val="style30"/>
    <w:next w:val="style31"/>
    <w:pPr/>
    <w:rPr>
      <w:rFonts w:cs="Mangal"/>
    </w:rPr>
  </w:style>
  <w:style w:styleId="style32" w:type="paragraph">
    <w:name w:val="Légende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Mangal"/>
    </w:rPr>
  </w:style>
  <w:style w:styleId="style34" w:type="paragraph">
    <w:name w:val="yiv1803341103msonormal"/>
    <w:basedOn w:val="style0"/>
    <w:next w:val="style34"/>
    <w:pPr>
      <w:spacing w:after="28" w:before="28"/>
      <w:contextualSpacing w:val="false"/>
    </w:pPr>
    <w:rPr/>
  </w:style>
  <w:style w:styleId="style35" w:type="paragraph">
    <w:name w:val="Balloon Text"/>
    <w:basedOn w:val="style0"/>
    <w:next w:val="style35"/>
    <w:pPr/>
    <w:rPr>
      <w:sz w:val="2"/>
    </w:rPr>
  </w:style>
  <w:style w:styleId="style36" w:type="paragraph">
    <w:name w:val="Body Text 2"/>
    <w:basedOn w:val="style0"/>
    <w:next w:val="style36"/>
    <w:pPr/>
    <w:rPr/>
  </w:style>
  <w:style w:styleId="style37" w:type="paragraph">
    <w:name w:val="Body Text 3"/>
    <w:basedOn w:val="style0"/>
    <w:next w:val="style37"/>
    <w:pPr/>
    <w:rPr>
      <w:sz w:val="16"/>
      <w:szCs w:val="16"/>
    </w:rPr>
  </w:style>
  <w:style w:styleId="style38" w:type="paragraph">
    <w:name w:val="annotation text"/>
    <w:basedOn w:val="style0"/>
    <w:next w:val="style38"/>
    <w:pPr/>
    <w:rPr>
      <w:sz w:val="20"/>
      <w:szCs w:val="20"/>
    </w:rPr>
  </w:style>
  <w:style w:styleId="style39" w:type="paragraph">
    <w:name w:val="Revision"/>
    <w:next w:val="style39"/>
    <w:pPr>
      <w:widowControl/>
      <w:tabs/>
      <w:suppressAutoHyphens w:val="true"/>
    </w:pPr>
    <w:rPr>
      <w:rFonts w:ascii="Times New Roman" w:cs="Times New Roman" w:eastAsia="MS Minngs" w:hAnsi="Times New Roman"/>
      <w:color w:val="auto"/>
      <w:sz w:val="24"/>
      <w:szCs w:val="24"/>
      <w:lang w:bidi="ar-SA" w:eastAsia="ja-JP" w:val="fr-FR"/>
    </w:rPr>
  </w:style>
  <w:style w:styleId="style40" w:type="paragraph">
    <w:name w:val="En-tête"/>
    <w:basedOn w:val="style0"/>
    <w:next w:val="style40"/>
    <w:pPr>
      <w:suppressLineNumbers/>
      <w:tabs>
        <w:tab w:leader="none" w:pos="4536" w:val="center"/>
        <w:tab w:leader="none" w:pos="9072" w:val="right"/>
      </w:tabs>
    </w:pPr>
    <w:rPr/>
  </w:style>
  <w:style w:styleId="style41" w:type="paragraph">
    <w:name w:val="Pied de page"/>
    <w:basedOn w:val="style0"/>
    <w:next w:val="style41"/>
    <w:pPr>
      <w:suppressLineNumbers/>
      <w:tabs>
        <w:tab w:leader="none" w:pos="4536" w:val="center"/>
        <w:tab w:leader="none" w:pos="9072" w:val="right"/>
      </w:tabs>
    </w:pPr>
    <w:rPr/>
  </w:style>
  <w:style w:styleId="style42" w:type="paragraph">
    <w:name w:val="Plain Text"/>
    <w:basedOn w:val="style0"/>
    <w:next w:val="style42"/>
    <w:pPr/>
    <w:rPr>
      <w:rFonts w:ascii="Calibri" w:cs="Calibri" w:hAnsi="Calibri"/>
      <w:sz w:val="22"/>
      <w:szCs w:val="21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2013-05-02T06:41:00.00Z</dcterms:created>
  <dc:creator>503464</dc:creator>
  <cp:lastModifiedBy>Utilisateur</cp:lastModifiedBy>
  <cp:lastPrinted>2013-01-17T09:33:00.00Z</cp:lastPrinted>
  <dcterms:modified xsi:type="dcterms:W3CDTF">2013-05-02T07:07:00.00Z</dcterms:modified>
  <cp:revision>4</cp:revision>
  <dc:title>Prise en charge des patients VIH</dc:title>
</cp:coreProperties>
</file>